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3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_rels/item4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4"/>
        <w:rPr>
          <w:bCs/>
          <w:sz w:val="20"/>
        </w:rPr>
      </w:pPr>
      <w:r>
        <w:rPr>
          <w:bCs/>
          <w:sz w:val="20"/>
        </w:rPr>
      </w:r>
    </w:p>
    <w:p>
      <w:pPr>
        <w:pStyle w:val="Normal"/>
        <w:spacing w:lineRule="auto" w:line="264"/>
        <w:jc w:val="right"/>
        <w:rPr>
          <w:sz w:val="24"/>
          <w:lang w:val="en-US"/>
        </w:rPr>
      </w:pPr>
      <w:bookmarkStart w:id="0" w:name="_GoBack"/>
      <w:r>
        <w:rPr>
          <w:bCs/>
          <w:sz w:val="24"/>
        </w:rPr>
        <w:t xml:space="preserve">  </w:t>
      </w:r>
      <w:r>
        <w:rPr>
          <w:bCs/>
          <w:sz w:val="24"/>
          <w:lang w:val="en-US"/>
        </w:rPr>
        <w:t xml:space="preserve">Приложение № </w:t>
      </w:r>
      <w:r>
        <w:rPr>
          <w:bCs/>
          <w:sz w:val="24"/>
          <w:lang w:val="en-US"/>
        </w:rPr>
        <w:t>5</w:t>
      </w:r>
      <w:r>
        <w:rPr>
          <w:bCs/>
          <w:sz w:val="24"/>
          <w:lang w:val="en-US"/>
        </w:rPr>
        <w:t xml:space="preserve"> к ТТ </w:t>
      </w:r>
      <w:bookmarkEnd w:id="0"/>
    </w:p>
    <w:p>
      <w:pPr>
        <w:pStyle w:val="Normal"/>
        <w:spacing w:lineRule="auto" w:line="264"/>
        <w:jc w:val="right"/>
        <w:rPr/>
      </w:pPr>
      <w:r>
        <w:rPr/>
        <w:t>Приложение 1</w:t>
      </w:r>
    </w:p>
    <w:p>
      <w:pPr>
        <w:pStyle w:val="Normal"/>
        <w:spacing w:lineRule="auto" w:line="264"/>
        <w:jc w:val="right"/>
        <w:rPr/>
      </w:pPr>
      <w:r>
        <w:rPr/>
        <w:t xml:space="preserve">к приказу филиала </w:t>
      </w:r>
    </w:p>
    <w:p>
      <w:pPr>
        <w:pStyle w:val="Normal"/>
        <w:spacing w:lineRule="auto" w:line="264"/>
        <w:jc w:val="right"/>
        <w:rPr/>
      </w:pPr>
      <w:r>
        <w:rPr/>
        <w:t xml:space="preserve">ПАО «РусГидро» </w:t>
      </w:r>
      <w:r>
        <w:rPr>
          <w:szCs w:val="28"/>
        </w:rPr>
        <w:t>–</w:t>
      </w:r>
      <w:r>
        <w:rPr/>
        <w:t xml:space="preserve"> «Бурейская ГЭС»</w:t>
      </w:r>
    </w:p>
    <w:p>
      <w:pPr>
        <w:pStyle w:val="Normal"/>
        <w:shd w:val="clear" w:color="auto" w:fill="FFFFFF"/>
        <w:tabs>
          <w:tab w:val="clear" w:pos="708"/>
          <w:tab w:val="left" w:pos="9000" w:leader="none"/>
        </w:tabs>
        <w:ind w:right="355" w:hanging="0"/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</w:t>
      </w:r>
      <w:r>
        <w:rPr>
          <w:bCs/>
          <w:szCs w:val="28"/>
        </w:rPr>
        <w:t>от 07.07.2021 № 422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/>
        <w:t xml:space="preserve">      </w:t>
      </w:r>
    </w:p>
    <w:p>
      <w:pPr>
        <w:pStyle w:val="Normal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ИНСТРУКЦИЯ</w:t>
      </w:r>
    </w:p>
    <w:p>
      <w:pPr>
        <w:pStyle w:val="Normal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 безопасному обращению с отходами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пгт Талакан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640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6"/>
        <w:gridCol w:w="8393"/>
        <w:gridCol w:w="821"/>
      </w:tblGrid>
      <w:tr>
        <w:trPr/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положения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Термины и определения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накопления и передачи на обезвреживание, утилизацию и размещение отходов производства и потребления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>
        <w:trPr/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местам и способам накопления отходов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учета в области обращения с отходами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rPr>
          <w:trHeight w:val="275" w:hRule="atLeast"/>
        </w:trPr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безопасности, профилактика и ликвидации аварийных ситуаций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rPr>
          <w:trHeight w:val="280" w:hRule="atLeast"/>
        </w:trPr>
        <w:tc>
          <w:tcPr>
            <w:tcW w:w="42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3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ind w:left="-108" w:hanging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Взаимодействие с подрядными организациями</w:t>
            </w:r>
          </w:p>
        </w:tc>
        <w:tc>
          <w:tcPr>
            <w:tcW w:w="821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</w:tbl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3"/>
        </w:num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Общие положения </w:t>
      </w:r>
    </w:p>
    <w:p>
      <w:pPr>
        <w:pStyle w:val="Normal"/>
        <w:ind w:left="1080" w:hanging="0"/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по обращению с отходами (далее Инструкция) разработана на основании: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РФ от 10.01.2002г. № 7-ФЗ «Об охране окружающей среды»;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24.06.1998 № 89-ФЗ «Об отходах производства и потребления»;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Федерального закона от 30.03.1999 № 52-ФЗ «О санитарно-эпидемиологическом благополучии населения»;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Приказа Минприроды РФ от 01.09.2011 №721 «Об утверждении порядка учета в области обращения с отходами.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1134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СанПиН 2.1.7.1322-03 «Гигиенические требования к размещению и обезвреживанию отходов производства и потребления».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Целью создания Инструкции является  соблюдение требований природоохранного законодательства при обращении с отходами, минимизация неблагоприятного воздействия отходов производства и потребления на окружающую среду и здоровье людей, а также  предупреждение чрезвычайных ситуаций при обращении с отходами.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Инструкция предназначена для организации контроля на территории филиала ПАО «РусГидро» - «Бурейская  ГЭС» (далее Филиал) за образованием, накоплением и передачей в места размещения и обезвреживания отходов производства и потребления.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Настоящая Инструкция определяет порядок организации работы в сфере обращения с  отходами для работников Филиала и подрядных организаций. Процессы обращения с отходами в Филиале включают в себя следующие этапы: образование, накопление.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Деятельность всех структурных подразделений Филиала должна быть направлена на сокращение объемов (массы) образования отходов, внедрение безотходных технологий, преобразование отходов во вторичное сырье, сведение к минимуму образование отходов, не подлежащих дальнейшей переработке, и захоронение их в соответствие с действующим законодательством.</w:t>
      </w:r>
    </w:p>
    <w:p>
      <w:pPr>
        <w:pStyle w:val="Normal"/>
        <w:ind w:left="72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b/>
          <w:szCs w:val="28"/>
        </w:rPr>
      </w:pPr>
      <w:r>
        <w:rPr>
          <w:b/>
          <w:szCs w:val="28"/>
        </w:rPr>
        <w:t>2.Термины и определения</w:t>
      </w:r>
    </w:p>
    <w:p>
      <w:pPr>
        <w:pStyle w:val="Normal"/>
        <w:tabs>
          <w:tab w:val="clear" w:pos="708"/>
          <w:tab w:val="right" w:pos="8363" w:leader="underscore"/>
        </w:tabs>
        <w:jc w:val="center"/>
        <w:rPr>
          <w:b/>
        </w:rPr>
      </w:pPr>
      <w:r>
        <w:rPr>
          <w:b/>
        </w:rPr>
      </w:r>
    </w:p>
    <w:p>
      <w:pPr>
        <w:pStyle w:val="BodyText"/>
        <w:jc w:val="both"/>
        <w:rPr>
          <w:sz w:val="24"/>
        </w:rPr>
      </w:pPr>
      <w:r>
        <w:rPr>
          <w:b/>
          <w:bCs/>
          <w:sz w:val="24"/>
        </w:rPr>
        <w:t xml:space="preserve">Отходы  производства и потребления </w:t>
      </w:r>
      <w:r>
        <w:rPr>
          <w:sz w:val="24"/>
        </w:rPr>
        <w:t xml:space="preserve">(далее - отходы) –  </w:t>
      </w:r>
      <w:r>
        <w:rPr>
          <w:sz w:val="24"/>
          <w:lang w:val="ru-RU"/>
        </w:rPr>
        <w:t>вещества или предметы, которые образованы в процессе производства, выполнения работ, оказания услуг или в процессе потребления, которые удаляются, предназначены для удаления или подлежат удалению в соответствии с Федеральным законом;</w:t>
      </w:r>
    </w:p>
    <w:p>
      <w:pPr>
        <w:pStyle w:val="BodyText"/>
        <w:jc w:val="both"/>
        <w:rPr>
          <w:sz w:val="24"/>
        </w:rPr>
      </w:pPr>
      <w:r>
        <w:rPr>
          <w:b/>
          <w:bCs/>
          <w:sz w:val="24"/>
        </w:rPr>
        <w:t>Опасные отходы</w:t>
      </w:r>
      <w:r>
        <w:rPr>
          <w:sz w:val="24"/>
        </w:rPr>
        <w:t xml:space="preserve"> – отходы, которые содержат вредные вещества, обладающие опасными свойствами (токсичность, взрывоопасность, пожароопасность, высокая реакционная способность) или содержащие возбудителей инфекционных болезней, либо которые могут представлять непосредственную или потенциальную опасность для окружающей природной среды и здоровья человека самостоятельно или  при вступлении в контакт с другими веществами</w:t>
      </w:r>
      <w:r>
        <w:rPr>
          <w:sz w:val="24"/>
          <w:lang w:val="ru-RU"/>
        </w:rPr>
        <w:t>;</w:t>
      </w:r>
      <w:r>
        <w:rPr>
          <w:sz w:val="24"/>
        </w:rPr>
        <w:t xml:space="preserve"> </w:t>
      </w:r>
    </w:p>
    <w:p>
      <w:pPr>
        <w:pStyle w:val="BodyText"/>
        <w:jc w:val="both"/>
        <w:rPr>
          <w:sz w:val="24"/>
          <w:lang w:val="ru-RU"/>
        </w:rPr>
      </w:pPr>
      <w:r>
        <w:rPr>
          <w:b/>
          <w:bCs/>
          <w:sz w:val="24"/>
        </w:rPr>
        <w:t xml:space="preserve">Обращение с отходами - </w:t>
      </w:r>
      <w:r>
        <w:rPr>
          <w:sz w:val="24"/>
          <w:lang w:val="ru-RU"/>
        </w:rPr>
        <w:t>деятельность по сбору, накоплению, транспортированию, обработке, утилизации, обезвреживанию, размещению отходов;</w:t>
      </w:r>
    </w:p>
    <w:p>
      <w:pPr>
        <w:pStyle w:val="BodyText"/>
        <w:jc w:val="both"/>
        <w:rPr>
          <w:sz w:val="24"/>
        </w:rPr>
      </w:pPr>
      <w:r>
        <w:rPr>
          <w:b/>
          <w:sz w:val="24"/>
        </w:rPr>
        <w:t>Накопление отходов</w:t>
      </w:r>
      <w:r>
        <w:rPr>
          <w:sz w:val="24"/>
        </w:rPr>
        <w:t xml:space="preserve"> - временное складирование отходов (на срок не более чем одиннадцать месяцев) в местах (на площадках), обустроенных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населения, в целях их дальнейших утилизации, обезвреживания, размещения, транспортирования;</w:t>
      </w:r>
    </w:p>
    <w:p>
      <w:pPr>
        <w:pStyle w:val="BodyText"/>
        <w:jc w:val="both"/>
        <w:rPr>
          <w:sz w:val="24"/>
        </w:rPr>
      </w:pPr>
      <w:r>
        <w:rPr>
          <w:b/>
          <w:bCs/>
          <w:sz w:val="24"/>
        </w:rPr>
        <w:t>Размещение отходов</w:t>
      </w:r>
      <w:r>
        <w:rPr>
          <w:sz w:val="24"/>
        </w:rPr>
        <w:t xml:space="preserve"> - хранение и захоронение отходов.</w:t>
      </w:r>
    </w:p>
    <w:p>
      <w:pPr>
        <w:pStyle w:val="BodyText"/>
        <w:jc w:val="both"/>
        <w:rPr>
          <w:sz w:val="24"/>
        </w:rPr>
      </w:pPr>
      <w:r>
        <w:rPr>
          <w:b/>
          <w:bCs/>
          <w:sz w:val="24"/>
        </w:rPr>
        <w:t>Хранение отходов</w:t>
      </w:r>
      <w:r>
        <w:rPr>
          <w:sz w:val="24"/>
        </w:rPr>
        <w:t xml:space="preserve"> – </w:t>
      </w:r>
      <w:r>
        <w:rPr>
          <w:sz w:val="24"/>
          <w:lang w:val="ru-RU"/>
        </w:rPr>
        <w:t>складирование отходов в специализированных объектах сроком более чем одиннадцать месяцев в целях утилизации, обезвреживания, захоронения;</w:t>
      </w:r>
    </w:p>
    <w:p>
      <w:pPr>
        <w:pStyle w:val="BodyText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 xml:space="preserve">Захоронение отходов - </w:t>
      </w:r>
      <w:r>
        <w:rPr>
          <w:bCs/>
          <w:sz w:val="24"/>
          <w:lang w:val="ru-RU"/>
        </w:rPr>
        <w:t>изоляция отходов, не подлежащих дальнейшей утилизации, в специальных хранилищах в целях предотвращения попадания вредных веществ в окружающую среду;</w:t>
      </w:r>
    </w:p>
    <w:p>
      <w:pPr>
        <w:pStyle w:val="BodyText"/>
        <w:jc w:val="both"/>
        <w:rPr>
          <w:sz w:val="24"/>
          <w:lang w:val="ru-RU"/>
        </w:rPr>
      </w:pPr>
      <w:r>
        <w:rPr>
          <w:b/>
          <w:bCs/>
          <w:sz w:val="24"/>
        </w:rPr>
        <w:t>Утилизация отходов -</w:t>
      </w:r>
      <w:r>
        <w:rPr>
          <w:sz w:val="24"/>
        </w:rPr>
        <w:t xml:space="preserve"> деятельность, связанная с использованием отходов на этапах их технологического цикла, или обеспечение повторного (вторичного) использования или переработки списанных изделий</w:t>
      </w:r>
      <w:r>
        <w:rPr>
          <w:sz w:val="24"/>
          <w:lang w:val="ru-RU"/>
        </w:rPr>
        <w:t>;</w:t>
      </w:r>
    </w:p>
    <w:p>
      <w:pPr>
        <w:pStyle w:val="BodyText"/>
        <w:jc w:val="both"/>
        <w:rPr>
          <w:bCs/>
          <w:sz w:val="24"/>
          <w:lang w:val="ru-RU"/>
        </w:rPr>
      </w:pPr>
      <w:r>
        <w:rPr>
          <w:b/>
          <w:bCs/>
          <w:sz w:val="24"/>
        </w:rPr>
        <w:t>Обезвреживание отходов</w:t>
      </w:r>
      <w:r>
        <w:rPr>
          <w:bCs/>
          <w:sz w:val="24"/>
        </w:rPr>
        <w:t xml:space="preserve"> - уменьшение массы отходов, изменение их состава, физических и химических свойств (включая сжигание и (или) обеззараживание на специализированных установках) в целях снижения негативного воздействия отходов на здоровье человека и окружающую среду;</w:t>
      </w:r>
    </w:p>
    <w:p>
      <w:pPr>
        <w:pStyle w:val="BodyText"/>
        <w:rPr>
          <w:bCs/>
          <w:sz w:val="24"/>
        </w:rPr>
      </w:pPr>
      <w:r>
        <w:rPr>
          <w:b/>
          <w:bCs/>
          <w:sz w:val="24"/>
        </w:rPr>
        <w:t>Сбор отходов</w:t>
      </w:r>
      <w:r>
        <w:rPr>
          <w:bCs/>
          <w:sz w:val="24"/>
        </w:rPr>
        <w:t xml:space="preserve"> - прием или поступление отходов от физических лиц и юридических лиц в целях дальнейших обработки, утилизации, обезвреживания, транспортирования, размещения таких отходов;</w:t>
      </w:r>
    </w:p>
    <w:p>
      <w:pPr>
        <w:pStyle w:val="BodyText"/>
        <w:jc w:val="both"/>
        <w:rPr>
          <w:bCs/>
          <w:sz w:val="24"/>
          <w:lang w:val="ru-RU"/>
        </w:rPr>
      </w:pPr>
      <w:r>
        <w:rPr>
          <w:b/>
          <w:bCs/>
          <w:sz w:val="24"/>
        </w:rPr>
        <w:t>Объекты размещения отходов</w:t>
      </w:r>
      <w:r>
        <w:rPr>
          <w:bCs/>
          <w:sz w:val="24"/>
        </w:rPr>
        <w:t xml:space="preserve"> - специально оборудованные сооружения, предназначенные для размещения отходов (полигон, шламохранилище, в том числе шламовый амбар, хвостохранилище, отвал горных пород) и включающие в себя объекты хранения отходов и объекты захоронения отходов;</w:t>
      </w:r>
    </w:p>
    <w:p>
      <w:pPr>
        <w:pStyle w:val="BodyText"/>
        <w:jc w:val="both"/>
        <w:rPr>
          <w:bCs/>
          <w:sz w:val="24"/>
          <w:lang w:val="ru-RU"/>
        </w:rPr>
      </w:pPr>
      <w:r>
        <w:rPr>
          <w:b/>
          <w:bCs/>
          <w:sz w:val="24"/>
        </w:rPr>
        <w:t>Объекты хранения отходов</w:t>
      </w:r>
      <w:r>
        <w:rPr>
          <w:bCs/>
          <w:sz w:val="24"/>
        </w:rPr>
        <w:t xml:space="preserve"> - специально оборудованные сооружения,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санитарно-эпидемиологического благополучия населения и предназначены для долгосрочного складирования отходов в целях их последующих утилизации, обезвреживания, захоронения;</w:t>
      </w:r>
    </w:p>
    <w:p>
      <w:pPr>
        <w:pStyle w:val="BodyText"/>
        <w:jc w:val="both"/>
        <w:rPr>
          <w:bCs/>
          <w:sz w:val="24"/>
        </w:rPr>
      </w:pPr>
      <w:r>
        <w:rPr>
          <w:b/>
          <w:bCs/>
          <w:sz w:val="24"/>
        </w:rPr>
        <w:t>Объекты захоронения отходов</w:t>
      </w:r>
      <w:r>
        <w:rPr>
          <w:bCs/>
          <w:sz w:val="24"/>
        </w:rPr>
        <w:t xml:space="preserve"> - предоставленные в пользование в установленном порядке участки недр, подземные сооружения для захоронения отходов I - V классов опасности в соответствии с законодательством Российской Федерации о недрах;</w:t>
      </w:r>
    </w:p>
    <w:p>
      <w:pPr>
        <w:pStyle w:val="BodyText"/>
        <w:jc w:val="both"/>
        <w:rPr>
          <w:sz w:val="24"/>
          <w:lang w:val="ru-RU"/>
        </w:rPr>
      </w:pPr>
      <w:r>
        <w:rPr>
          <w:b/>
          <w:bCs/>
          <w:sz w:val="24"/>
        </w:rPr>
        <w:t xml:space="preserve">Транспортирование отходов - </w:t>
      </w:r>
      <w:r>
        <w:rPr>
          <w:sz w:val="24"/>
          <w:lang w:val="ru-RU"/>
        </w:rPr>
        <w:t>перемещение отходов с помощью транспортных средств вне границ земельного участка, находящегося в собственности юридического лица или индивидуального предпринимателя либо предоставленного им на иных правах;</w:t>
      </w:r>
    </w:p>
    <w:p>
      <w:pPr>
        <w:pStyle w:val="BodyText"/>
        <w:jc w:val="both"/>
        <w:rPr>
          <w:sz w:val="24"/>
          <w:lang w:val="ru-RU"/>
        </w:rPr>
      </w:pPr>
      <w:r>
        <w:rPr>
          <w:b/>
          <w:bCs/>
          <w:sz w:val="24"/>
        </w:rPr>
        <w:t>Паспорт отхода</w:t>
      </w:r>
      <w:r>
        <w:rPr>
          <w:sz w:val="24"/>
        </w:rPr>
        <w:t xml:space="preserve"> - </w:t>
      </w:r>
      <w:r>
        <w:rPr>
          <w:sz w:val="24"/>
          <w:lang w:val="ru-RU"/>
        </w:rPr>
        <w:t>документ, удостоверяющий принадлежность отходов к отходам соответствующего вида и класса опасности, содержащий сведения об их составе;</w:t>
      </w:r>
    </w:p>
    <w:p>
      <w:pPr>
        <w:pStyle w:val="BodyText"/>
        <w:jc w:val="both"/>
        <w:rPr>
          <w:sz w:val="24"/>
          <w:lang w:val="ru-RU"/>
        </w:rPr>
      </w:pPr>
      <w:r>
        <w:rPr>
          <w:b/>
          <w:bCs/>
          <w:sz w:val="24"/>
        </w:rPr>
        <w:t>Лимит размещения отходов -</w:t>
      </w:r>
      <w:r>
        <w:rPr>
          <w:sz w:val="24"/>
        </w:rPr>
        <w:t xml:space="preserve"> </w:t>
      </w:r>
      <w:r>
        <w:rPr>
          <w:sz w:val="24"/>
          <w:lang w:val="ru-RU"/>
        </w:rPr>
        <w:t>предельно допустимое количество отходов конкретного вида,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1080" w:leader="none"/>
        </w:tabs>
        <w:ind w:left="0" w:hanging="0"/>
        <w:jc w:val="both"/>
        <w:outlineLvl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Классы опасности отходов - </w:t>
      </w:r>
      <w:r>
        <w:rPr>
          <w:bCs/>
          <w:sz w:val="24"/>
          <w:szCs w:val="24"/>
        </w:rPr>
        <w:t>отходы в зависимости от степени негативного воздействия на окружающую среду подразделяются в соответствии с критериями, установленными федеральным органом исполнительной власти, осуществляющим государственное регулирование в области охраны окружающей среды, на пять классов опасности:</w:t>
      </w:r>
    </w:p>
    <w:p>
      <w:pPr>
        <w:pStyle w:val="Normal"/>
        <w:tabs>
          <w:tab w:val="clear" w:pos="708"/>
          <w:tab w:val="left" w:pos="108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 класс - чрезвычайно опасные отходы;</w:t>
      </w:r>
    </w:p>
    <w:p>
      <w:pPr>
        <w:pStyle w:val="Normal"/>
        <w:tabs>
          <w:tab w:val="clear" w:pos="708"/>
          <w:tab w:val="left" w:pos="108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 класс - высокоопасные отходы;</w:t>
      </w:r>
    </w:p>
    <w:p>
      <w:pPr>
        <w:pStyle w:val="Normal"/>
        <w:tabs>
          <w:tab w:val="clear" w:pos="708"/>
          <w:tab w:val="left" w:pos="108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III класс - умеренно опасные отходы;</w:t>
      </w:r>
    </w:p>
    <w:p>
      <w:pPr>
        <w:pStyle w:val="Normal"/>
        <w:tabs>
          <w:tab w:val="clear" w:pos="708"/>
          <w:tab w:val="left" w:pos="108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IV класс - малоопасные отходы;</w:t>
      </w:r>
    </w:p>
    <w:p>
      <w:pPr>
        <w:pStyle w:val="Normal"/>
        <w:tabs>
          <w:tab w:val="clear" w:pos="708"/>
          <w:tab w:val="left" w:pos="1080" w:leader="none"/>
        </w:tabs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V класс - практически неопасные отходы.</w:t>
      </w:r>
    </w:p>
    <w:p>
      <w:pPr>
        <w:pStyle w:val="Normal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3. Организация накопления и передачи на обезвреживание, утилизацию и размещение отходов производства и потребления </w:t>
      </w:r>
    </w:p>
    <w:p>
      <w:pPr>
        <w:pStyle w:val="Normal"/>
        <w:ind w:firstLine="708"/>
        <w:jc w:val="center"/>
        <w:rPr>
          <w:b/>
          <w:szCs w:val="28"/>
        </w:rPr>
      </w:pPr>
      <w:r>
        <w:rPr>
          <w:b/>
          <w:szCs w:val="28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результате производственной деятельности в структурных подразделениях Филиала образуются и накапливаются отходы, которые подлежат учету, сбору, транспортированию для дальнейшего обезвреживания, утилизации или размещения на полигонах.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Накопление или складирование отходов должно быть раздельным, осуществляться в специально отведённых местах – контейнерах, емкостях, открытых и закрытых площадках.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накоплении отходов запрещается: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Накопление отходов в месте, не предназначенном для складирования таких отходов.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Накопление отходов более 11 месяцев.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Превышение при накоплении установленных нормативов образования отходов.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 Смешивать при сборе и временном хранении различные виды и группы отходов.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Хранение в открытом виде (навалом) на площадках без применения средств пылеподавления;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6. Выброс, отходов на: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на почву;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системы канализации;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поверхностные и подземные водные объекты;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разбрасывание по территории предприятия;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Вывозка образующихся отходов осуществляется специализированной организацией по договору.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Транспортирование  отходов должно осуществляться при следующих условиях: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на специально оборудованном транспортом средстве, исключающем возможность потери отходов и возникновения аварийных ситуаций;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при соблюдении требований безопасности к транспортированию  отходов    на транспортных средствах;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наличие документации для транспортирования и передачи отходов с указанием количества транспортируемых отходов, цели и места назначения их транспортирования.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Виды отходов, которые невозможно передать на утилизацию или размещение на объекты хранения или захоронения, сдаются специализированным организациям на обезвреживание.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 данной категории отходов относятся:</w:t>
      </w:r>
    </w:p>
    <w:p>
      <w:pPr>
        <w:pStyle w:val="Normal"/>
        <w:ind w:firstLine="720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- отработанные ртутьсодержащие лампы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Транспортировка ламп и приборов с ртутным наполнением производится транспортом специализированной организации в коробках завода изготовителя. При транспортировании ртутьсодержащих отходов необходимо обеспечивать обязательную укладку мест правильными рядами во избежание повреждения тары в пути, потери ртути и заражения транспортных средств и местности ртутью.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 мере накопления отработанных ртутьсодержащих ламп, отдел материально – технического обеспечения (далее ОМТО)  организует передачу отходов строго специализированной организации, имеющей лицензию на осуществление деятельности по сбору, транспортировке и обезвреживанию отходов I –IV класса опасности, на договорной основе. Факт передачи отходов подтверждается  первичными бухгалтерскими документами и актом приема-передачи отходов.</w:t>
      </w:r>
    </w:p>
    <w:p>
      <w:pPr>
        <w:pStyle w:val="Normal"/>
        <w:ind w:firstLine="720"/>
        <w:rPr>
          <w:i/>
          <w:i/>
          <w:sz w:val="24"/>
          <w:szCs w:val="24"/>
          <w:highlight w:val="yellow"/>
        </w:rPr>
      </w:pPr>
      <w:r>
        <w:rPr>
          <w:i/>
          <w:sz w:val="24"/>
          <w:szCs w:val="24"/>
        </w:rPr>
        <w:t xml:space="preserve">- отходы минеральных масел; </w:t>
      </w:r>
    </w:p>
    <w:p>
      <w:pPr>
        <w:pStyle w:val="Normal"/>
        <w:widowControl w:val="false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 целях сокращения расхода товарных масел и других нефтепродуктов на предприятии должны приниматься меры к возможно полному использованию отработанных нефтепродуктов. </w:t>
      </w:r>
    </w:p>
    <w:p>
      <w:pPr>
        <w:pStyle w:val="Normal"/>
        <w:widowControl w:val="false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Реализацией отработанных масел для использования занимается ОМТО.  Факт передачи подтверждается  первичными бухгалтерскими документами и актом приема передачи отходов.</w:t>
      </w:r>
    </w:p>
    <w:p>
      <w:pPr>
        <w:pStyle w:val="Normal"/>
        <w:ind w:firstLine="72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-  обтирочный материал, загрязненный нефтепродуктами;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Накапливается в герметичных контейнерах с крышками, при формировании партии твёрдые отходы с содержанием нефтепродуктов, ОМТО организовывает передачу специализированной организации, имеющей лицензию на осуществление деятельности по сбору, транспортировке и обезвреживанию отходов I-IV классов опасности.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>Передача всех видов отходов, содержащих нефтепродукты, осуществляется в соответствии с договором, заключенным со специализированным предприятием.</w:t>
      </w:r>
    </w:p>
    <w:p>
      <w:pPr>
        <w:pStyle w:val="Normal"/>
        <w:ind w:firstLine="720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- лом черных, цветных металлов;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 мере накопления, данные отходы передаются специализированной организации, имеющей лицензию на осуществление деятельности по заготовке, хранению, переработке и реализации лома черных металлов, цветных металлов, на договорной основе. Факт передачи подтверждается  первичными бухгалтерскими документами и актом приема передачи отходов. Вопросами, связанными с реализацией лома черных и цветных металлов занимается ОМТО.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Normal"/>
        <w:ind w:firstLine="708"/>
        <w:rPr>
          <w:b/>
          <w:szCs w:val="28"/>
        </w:rPr>
      </w:pPr>
      <w:r>
        <w:rPr>
          <w:b/>
          <w:szCs w:val="28"/>
        </w:rPr>
        <w:t>4. Требования к местам и способам накопления  отходов</w:t>
      </w:r>
    </w:p>
    <w:p>
      <w:pPr>
        <w:pStyle w:val="Normal"/>
        <w:jc w:val="center"/>
        <w:rPr/>
      </w:pPr>
      <w:r>
        <w:rPr/>
      </w:r>
    </w:p>
    <w:p>
      <w:pPr>
        <w:pStyle w:val="Normal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Общие требования</w:t>
      </w:r>
    </w:p>
    <w:p>
      <w:pPr>
        <w:pStyle w:val="BodyText"/>
        <w:spacing w:before="0" w:after="0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Накопление  отходов должно быть раздельным, осуществляться в специально отведённых местах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</w:p>
    <w:p>
      <w:pPr>
        <w:pStyle w:val="BodyText"/>
        <w:spacing w:before="0" w:after="0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Для объектов накопления (временного складирования) отходов на территории Филиала необходимо выполнение экологических и санитарно-эпидемиологических требований в зависимости от класса опасности отходов. </w:t>
      </w:r>
    </w:p>
    <w:p>
      <w:pPr>
        <w:pStyle w:val="BodyText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Все отходы, по степени воздействия вредных веществ на организм человека, делятся на следующие классы опасности:</w:t>
      </w:r>
    </w:p>
    <w:p>
      <w:pPr>
        <w:pStyle w:val="BodyText"/>
        <w:jc w:val="both"/>
        <w:rPr>
          <w:sz w:val="24"/>
          <w:szCs w:val="24"/>
        </w:rPr>
      </w:pPr>
      <w:r>
        <w:rPr>
          <w:sz w:val="24"/>
          <w:szCs w:val="24"/>
        </w:rPr>
        <w:t>I класс - Чрезвычайно опасные</w:t>
      </w:r>
    </w:p>
    <w:p>
      <w:pPr>
        <w:pStyle w:val="BodyText"/>
        <w:jc w:val="both"/>
        <w:rPr>
          <w:sz w:val="24"/>
          <w:szCs w:val="24"/>
        </w:rPr>
      </w:pPr>
      <w:r>
        <w:rPr>
          <w:sz w:val="24"/>
          <w:szCs w:val="24"/>
        </w:rPr>
        <w:t>II класс - Высоко опасные</w:t>
      </w:r>
    </w:p>
    <w:p>
      <w:pPr>
        <w:pStyle w:val="BodyText"/>
        <w:jc w:val="both"/>
        <w:rPr>
          <w:sz w:val="24"/>
          <w:szCs w:val="24"/>
        </w:rPr>
      </w:pPr>
      <w:r>
        <w:rPr>
          <w:sz w:val="24"/>
          <w:szCs w:val="24"/>
        </w:rPr>
        <w:t>III класс -  Умеренно опасные</w:t>
      </w:r>
    </w:p>
    <w:p>
      <w:pPr>
        <w:pStyle w:val="BodyText"/>
        <w:jc w:val="both"/>
        <w:rPr>
          <w:sz w:val="24"/>
          <w:szCs w:val="24"/>
        </w:rPr>
      </w:pPr>
      <w:r>
        <w:rPr>
          <w:sz w:val="24"/>
          <w:szCs w:val="24"/>
        </w:rPr>
        <w:t>IV класс -  Малоопасные</w:t>
      </w:r>
    </w:p>
    <w:p>
      <w:pPr>
        <w:pStyle w:val="BodyText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V класс -  Практически не опасные</w:t>
      </w:r>
    </w:p>
    <w:p>
      <w:pPr>
        <w:pStyle w:val="BodyTex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Условия хранения отхода определяются классом его опасности:</w:t>
      </w:r>
    </w:p>
    <w:p>
      <w:pPr>
        <w:pStyle w:val="BodyTex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вещества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класса опасности хранятся в герметической таре (металлические, керамические контейнеры, бочки);</w:t>
      </w:r>
    </w:p>
    <w:p>
      <w:pPr>
        <w:pStyle w:val="BodyTex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вещества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класса опасности хранятся в закрытой таре (пластиковые ящики, пакеты);</w:t>
      </w:r>
    </w:p>
    <w:p>
      <w:pPr>
        <w:pStyle w:val="BodyTex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вещества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класса опасности хранятся в бумажных и хлопчатобумажных мешках;</w:t>
      </w:r>
    </w:p>
    <w:p>
      <w:pPr>
        <w:pStyle w:val="BodyText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вещества </w:t>
      </w:r>
      <w:r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>,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 класса опасности могут храниться открыто (навалом, насыпью)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временном складировании отходов в нестационарных складах, на открытых площадках без тары (навалом, насыпью) или в негерметичной таре должны соблюдаться следующие условия (СанПиН 2.1.7.1322-03 "Гигиенические требования к размещению и обезвреживанию отходов производства и потребления").: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временные склады и открытые площадки должны располагаться с подветренной стороны по отношению к жилой застройке;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поверхность хранящихся насыпью отходов или открытых приемников-накопителей должна быть защищена от воздействия атмосферных осадков и ветров (укрытие брезентом, оборудование навесом и т.д.);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поверхность площадки должна иметь искусственное водонепроницаемое и химически стойкое покрытие (асфальт, керамзитобетон, полимербетон, керамическая плитка);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по периметру площадки должны быть предусмотрены обваловка.</w:t>
      </w:r>
    </w:p>
    <w:p>
      <w:pPr>
        <w:pStyle w:val="BodyText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 сложном химическом составе отхода условия его хранения определяются наличием веществ наивысшего класса опасности.</w:t>
      </w:r>
    </w:p>
    <w:p>
      <w:pPr>
        <w:pStyle w:val="BodyText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временного </w:t>
      </w:r>
      <w:r>
        <w:rPr>
          <w:sz w:val="24"/>
          <w:szCs w:val="24"/>
          <w:lang w:val="ru-RU"/>
        </w:rPr>
        <w:t>складирования</w:t>
      </w:r>
      <w:r>
        <w:rPr>
          <w:sz w:val="24"/>
          <w:szCs w:val="24"/>
        </w:rPr>
        <w:t xml:space="preserve"> отходов в стационарных складах или в производственных помещениях должны быть обеспечены требования ГОСТ ССБТ «Общие санитарно-гигиенические требования к воздуху рабочей зоны» №12.1.005-88, то есть хранение промышленных отходов на технологических участках по месту их образования не должно вызывать ухудшение показателей микроклимата в производственных помещениях и содержания вредных веществ, превышающего их допустимые концентрации в воздухе рабочей зоны.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Площадки для установки контейнеров для временного складирования отходов должны иметь бетонированное или асфальтированное покрытие.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Контейнеры и ёмкости для отходов нефтепродуктов и отходов, содержащих нефтепродукты, устанавливают в поддоны, которые устанавливают на бетонированное или асфальтированное покрытие.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Допускается установка контейнеров для промасленной ветоши, строительного мусора непосредственно на месте производства работ.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установке контейнеров на открытом воздухе площадка под ними должна быть заасфальтирована или забетонирована. Контейнеры должны быть закрыты, с целью исключения попадания атмосферных осадков.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Вновь организуемые места размещения отходов (дополнительные площадки, контейнеры) предварительно должны быть согласованы с ответственным за территорию и с  инженером по охране окружающей среды (экологом).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каждом контейнере должна быть выполнена надпись о назначении контейнера, его грузоподъемности, собственном весе, принадлежности производственному подразделению. </w:t>
      </w:r>
    </w:p>
    <w:p>
      <w:pPr>
        <w:pStyle w:val="Normal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4.2. Требования к местам и способам временного складирования отдельных видов отходов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Твердые коммунальные  отходы (ТКО)</w:t>
      </w:r>
      <w:r>
        <w:rPr>
          <w:sz w:val="24"/>
          <w:szCs w:val="24"/>
        </w:rPr>
        <w:t xml:space="preserve"> – должны храниться в специальных (желательно стандартных) металлических маркированных контейнерах с крышкой, установленных на площадке с твердым покрытием, желательно огороженной с 3-х сторон сплошным ограждением, имеющим бортики, обеспеченной удобными подъездными путями. Своевременный вывоз их должен быть обеспечен согласно  договору, заключенному со специализированной организацией по вывозу отходов.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ДОПУСКАЕТСЯ: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переполнение контейнеров;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поступление в контейнеры для ТКО отходов, не разрешенных к приему на полигоны ТКО, в особенности отходов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класса опасности (ртутьсодержащие лампы, аккумуляторы);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ТКО на подсыпку дорог, стройплощадок и т.п.;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сжигание ТКО на промышленных площадках, особенно вблизи жилых районов;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хранение ТКО в открытых контейнерах более недели.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709"/>
        <w:jc w:val="both"/>
        <w:rPr>
          <w:spacing w:val="-2"/>
          <w:sz w:val="24"/>
          <w:szCs w:val="24"/>
        </w:rPr>
      </w:pPr>
      <w:r>
        <w:rPr>
          <w:b/>
          <w:sz w:val="24"/>
          <w:szCs w:val="24"/>
        </w:rPr>
        <w:t xml:space="preserve">Ртутьсодержащие отходы </w:t>
      </w:r>
      <w:r>
        <w:rPr>
          <w:sz w:val="24"/>
          <w:szCs w:val="24"/>
        </w:rPr>
        <w:t xml:space="preserve">– (отработанные люминесцентные лампы и ртутьсодержащие трубки) представляют группу отходов, которым предъявляются особые требования в части их обращения. Это обуславливается высокой токсичностью ртути, ее воздействию на здоровье человека, попадая в почву, воду и воздух, загрязняет и отравляет окружающую среду, такие отходы отнесены к I классу опасности. Ртутьсодержащие </w:t>
      </w:r>
      <w:r>
        <w:rPr>
          <w:spacing w:val="-2"/>
          <w:sz w:val="24"/>
          <w:szCs w:val="24"/>
        </w:rPr>
        <w:t xml:space="preserve">отходы образуются при замене отработанных ртутьсодержащих ламп (далее РСЛ).  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Накопление отработанных РСЛ производится отдельно от других видов отходов. Отработанные РСЛ </w:t>
      </w:r>
      <w:r>
        <w:rPr>
          <w:sz w:val="24"/>
          <w:szCs w:val="24"/>
        </w:rPr>
        <w:t xml:space="preserve">должны храниться в специально отведенном помещении  не доступном для посторонних. Пол, стены и потолок помещения должны быть выполнены из твердого, гладкого, водонепроницаемого материала (металл, бетон, керамическая плитка и т.п.). Места временного складирования отработанных ртутьсодержащих ламп должны быть обозначены краской или табличкой с надписью "Отход I класса опасности. Отработанные ртутные лампы".  </w:t>
      </w:r>
    </w:p>
    <w:p>
      <w:pPr>
        <w:pStyle w:val="Normal"/>
        <w:widowControl w:val="false"/>
        <w:tabs>
          <w:tab w:val="clear" w:pos="708"/>
          <w:tab w:val="left" w:pos="709" w:leader="none"/>
        </w:tabs>
        <w:ind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Каждая отработанная РСЛ или люминесцентная трубка должна быть упакована в индивидуальную заводскую тару из гофрокартона (защищена от случайных механических повреждений внутренней упаковкой)</w:t>
      </w:r>
      <w:r>
        <w:rPr>
          <w:sz w:val="24"/>
          <w:szCs w:val="24"/>
        </w:rPr>
        <w:t>. Упакованные в гофрокартон или бумагу отработанные РСЛ сортируются по диаметру и длине, укладываются в любые сухие неповрежденные картонные или фанерные коробки.  Максимальный вес коробки при заполнении не должен превышать 15 кг. Каждая коробка должна быть подписана (указать тип ламп - марку, количество).  В целях обеспечения необходимой прочности и герметичности картонные коробки должны быть оклеены клеевой лентой по всем швам, включая и вертикальные. В контейнере (коробке, ящике), заполненном отработанными ртутными лампами, защищенными индивидуальной упаковкой, не допускаются пустоты и свободное перемещение ламп. Зазоры между лампами,  все пустоты плотно заполняются мягкими амортизирующими средствами.  Верх картонной коробки закрывается, шов заклеивается клеевой лентой. </w:t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lineRule="auto" w:line="228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местах накопления данного вида отхода необходимо наличие комплекта для демеркуризации с инструкцией по применению в случае разбиения лампы. Комплект для демеркуризации хранится непосредственно в месте накопления, отработанных РСЛ.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ДОПУСКАЕТСЯ: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любые действия (бросать, ударять, разбирать), которые способны привести к механическому разрушению РСЛ;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хранение ламп под открытым небом;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хранение ламп без тары;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хранение ламп на грунтовой поверхности;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передача ламп в какие-либо сторонние организации, кроме специализированных по переработке данного вида отходов. 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Аккумуляторные батареи</w:t>
      </w:r>
      <w:r>
        <w:rPr>
          <w:sz w:val="24"/>
          <w:szCs w:val="24"/>
        </w:rPr>
        <w:t xml:space="preserve"> – должны накапливаться в закрытом помещении, недоступном для посторонних.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ДОПУСКАЕТСЯ: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хранение аккумуляторных батарей под открытым небом;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хранение аккумуляторных батарей на грунтовой поверхности.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Отработанные масла</w:t>
      </w:r>
      <w:r>
        <w:rPr>
          <w:sz w:val="24"/>
          <w:szCs w:val="24"/>
        </w:rPr>
        <w:t xml:space="preserve"> – должны храниться следующим образом – масла, накапливаемые непосредственно в цехах, должны храниться в металлических бочках с плотной крышкой (либо пластиковых канистрах), установленных на металлических поддонах исключающих попадание нефтепродуктов в грунт и в поверхностный сток в случае пролива.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накапливании масел на улице, бочки должны храниться под навесом на освещенной, огороженной, асфальтированной площадке, оборудованной системой пожаротушения. 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малых объемах образования масел, возможно, их хранение в общих бочках, либо канистрах с соблюдением вышеизложенных требований.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Обязательное разделение видов масел (индустриальных, моторных, трансмиссионных    и др.), обуславливается  выполнением требований </w:t>
      </w:r>
      <w:r>
        <w:rPr>
          <w:sz w:val="24"/>
          <w:szCs w:val="24"/>
          <w:lang w:val="x-none"/>
        </w:rPr>
        <w:t xml:space="preserve">с целью возможности реализации масел для использования. 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ДОПУСКАЕТСЯ: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переполнение емкостей для временного складирования масла и пролив его на рельеф;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попадание воды внутрь емкостей для хранения масла;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попадание масел в окружающую среду, сливать отработанные нефтепродукты на почву, в водоемы и канализационные системы.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Лом черных и цветных  металлов</w:t>
      </w:r>
      <w:r>
        <w:rPr>
          <w:sz w:val="24"/>
          <w:szCs w:val="24"/>
        </w:rPr>
        <w:t xml:space="preserve"> – по мере образования в подразделениях, по актам передается в ОМТО. Должен накапливаться на площадке с уплотненным грунтом или асфальтированным покрытием, желательно огороженной сеткой, имеющей бортики, обеспеченной удобными подъездными путями. Площадка должна быть защищена от воздействия атмосферных осадков и ветров (укрытие брезентом, оборудование навесом).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Нежелательно длительное накопление металлолома, так как в этом случае он утрачивает свои свойства как вторичного сырья.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ДОПУСКАЕТСЯ: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поступление в металлолом прочих отходов, поскольку это существенно затрудняет его переработку.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временном накоплении отходов в нестационарных складах, на открытых площадках без тары (навалом, насыпью) или в негерметичной таре должны соблюдаться следующие условия (п.3.7 СанПиН 2.1.7.1322-03):                     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временные склады и открытые площадки должны располагаться с подветренной стороны по отношению к жилой застройке;           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поверхность хранящихся насыпью отходов или открытых приемников-накопителей должна быть защищена от воздействия атмосферных осадков и ветров (укрытие брезентом, оборудование навесом и т.д.);            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поверхность площадки должна иметь искусственное водонепроницаемое и химически стойкое покрытие (асфальт, керамзитобетон, полимербетон, керамическая плитка и др.);             </w:t>
      </w:r>
    </w:p>
    <w:p>
      <w:pPr>
        <w:pStyle w:val="Normal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- по периметру площадки должны быть предусмотрены обваловка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Лом и стружка цветных металлов. </w:t>
      </w:r>
      <w:r>
        <w:rPr>
          <w:sz w:val="24"/>
          <w:szCs w:val="24"/>
        </w:rPr>
        <w:t>Основные требования к их временному складированию те же, что и для черных металлов, однако в связи с тем, что они являются ценным отходом, можно рекомендовать хранение их на стеллажах или в емкостях в помещении, недоступном для посторонних.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Обтирочный материал, загрязненный нефтепродуктами - </w:t>
      </w:r>
      <w:r>
        <w:rPr>
          <w:sz w:val="24"/>
          <w:szCs w:val="24"/>
        </w:rPr>
        <w:t>накапливается в металлическом контейнере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 с плотной крышкой,  установленном вдали от прямых солнечных лучей, любых нагревательных элементов и приборов отопления.  Перед вывозом содержимое перегружается в мешки. Использованный промасленный обтирочный материал с рабочих мест ежедневно убирается в контейнеры для временного складирования.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НЕ ДОПУСКАЕТСЯ:</w:t>
      </w:r>
    </w:p>
    <w:p>
      <w:pPr>
        <w:pStyle w:val="Normal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курение и использование открытого огня в местах временного складирования  отходов.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jc w:val="center"/>
        <w:rPr>
          <w:b/>
          <w:bCs/>
          <w:sz w:val="28"/>
        </w:rPr>
      </w:pPr>
      <w:r>
        <w:rPr>
          <w:b/>
          <w:bCs/>
          <w:sz w:val="28"/>
        </w:rPr>
        <w:t>5. Правила  учёта в области обращения с отходами</w:t>
      </w:r>
    </w:p>
    <w:p>
      <w:pPr>
        <w:pStyle w:val="BodyTextIndent"/>
        <w:spacing w:lineRule="atLeast" w:line="240"/>
        <w:ind w:left="284" w:hanging="0"/>
        <w:rPr>
          <w:b/>
          <w:bCs/>
        </w:rPr>
      </w:pPr>
      <w:r>
        <w:rPr>
          <w:b/>
          <w:bCs/>
        </w:rPr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 xml:space="preserve">В соответствии со ст. 19 Федерального закона «Об отходах производства и потребления» «юридические лица, осуществляющие деятельность в области обращения с отходами, обязаны вести в установленном порядке учет образовавшихся, использованных, обезвреженных, переданным другим лицам или полученных от других лиц, а также размещенных отходов». </w:t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>Учету подлежат все виды отходов I - V класса опасности, образовавшиеся, использованные, обезвреженные, переданные другим лицам за учетный период.</w:t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>Учет в области обращения с отходами ведется на основании фактических измерений количества использованных, обезвреженных, переданных другим лицам отходов.</w:t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>В случае невозможности произвести фактические измерения количества использованных, обезвреженных, переданных другим лицам отходов, учет ведется на основании следующих источников:</w:t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>технической и технологической документации;</w:t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>актов приема-передачи;</w:t>
      </w:r>
    </w:p>
    <w:p>
      <w:pPr>
        <w:pStyle w:val="BodyText"/>
        <w:spacing w:before="0" w:after="0"/>
        <w:ind w:firstLine="708"/>
        <w:jc w:val="both"/>
        <w:rPr>
          <w:sz w:val="24"/>
        </w:rPr>
      </w:pPr>
      <w:r>
        <w:rPr>
          <w:sz w:val="24"/>
        </w:rPr>
        <w:t>договоров.</w:t>
      </w:r>
    </w:p>
    <w:p>
      <w:pPr>
        <w:pStyle w:val="BodyText"/>
        <w:spacing w:before="0" w:after="0"/>
        <w:ind w:firstLine="708"/>
        <w:jc w:val="both"/>
        <w:rPr>
          <w:sz w:val="24"/>
          <w:lang w:val="ru-RU"/>
        </w:rPr>
      </w:pPr>
      <w:r>
        <w:rPr>
          <w:sz w:val="24"/>
        </w:rPr>
        <w:t>Данные учета в области обращения с отходами оформляются в электронном виде.</w:t>
      </w:r>
    </w:p>
    <w:p>
      <w:pPr>
        <w:pStyle w:val="BodyText"/>
        <w:spacing w:before="0" w:after="0"/>
        <w:ind w:firstLine="708"/>
        <w:jc w:val="both"/>
        <w:rPr>
          <w:sz w:val="24"/>
          <w:lang w:val="ru-RU"/>
        </w:rPr>
      </w:pPr>
      <w:r>
        <w:rPr>
          <w:sz w:val="24"/>
          <w:lang w:val="ru-RU"/>
        </w:rPr>
        <w:t>Заполнение таблиц данных учета в области обращения с отходами осуществляется лицом, ответственным за учет образовавшихся, использованных, обезвреженных, переданных другим лицам или полученных от других лиц, а также размещенных отходов, Ответственным лицом  по учету в области обращения с отходами является инженер по охране окружающей среды (эколог).</w:t>
      </w:r>
    </w:p>
    <w:p>
      <w:pPr>
        <w:pStyle w:val="BodyText"/>
        <w:ind w:firstLine="708"/>
        <w:jc w:val="both"/>
        <w:rPr>
          <w:sz w:val="24"/>
        </w:rPr>
      </w:pPr>
      <w:r>
        <w:rPr>
          <w:sz w:val="24"/>
        </w:rPr>
        <w:t>Данные учета обобщаются по итогам очередного квартала (по состоянию на 1 апреля, 1 июля и 1 октября текущего года), а также очередного календарного года (по состоянию на 1 января года, следующего за учетным) в срок не позднее 10 числа месяца, следующего за указанным периодом.</w:t>
      </w:r>
      <w:r>
        <w:rPr>
          <w:sz w:val="24"/>
          <w:lang w:val="ru-RU"/>
        </w:rPr>
        <w:t xml:space="preserve"> </w:t>
      </w:r>
    </w:p>
    <w:p>
      <w:pPr>
        <w:pStyle w:val="BodyText"/>
        <w:jc w:val="center"/>
        <w:rPr>
          <w:b/>
          <w:szCs w:val="28"/>
        </w:rPr>
      </w:pPr>
      <w:r>
        <w:rPr>
          <w:b/>
          <w:szCs w:val="28"/>
        </w:rPr>
        <w:t>6. Требования безопасности, профилактики и ликвидации аварийных ситуаций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>К работам по ликвидации аварийных ситуаций допускаются лица, прошедшие специальный инструктаж по безопасным методам производства работ.</w:t>
      </w:r>
    </w:p>
    <w:p>
      <w:pPr>
        <w:pStyle w:val="Normal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Пролитые на пол различные химические растворы и растворители следует немедленно нейтрализовать и убрать при помощи опилок или сухого песка, а пол протереть ветошью, смоченной соответствующим растворителем, после чего облитое место тщательно вымыть водой с моющим средством или 10% раствором соды. Эти работы следует проводить в средствах индивидуальной защиты (противогазах, респираторах, перчатках и т.д.).</w:t>
      </w:r>
    </w:p>
    <w:p>
      <w:pPr>
        <w:pStyle w:val="Normal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Материалы покрытия полов должны быть устойчивыми в отношении химического воздействия и не допускать сорбции вредных веществ.</w:t>
      </w:r>
    </w:p>
    <w:p>
      <w:pPr>
        <w:pStyle w:val="Normal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Полы в производственных помещениях должны содержаться в исправном состоянии. Эксплуатация полов с поврежденной поверхностью, выбоинами, неровностями не допускается. В помещениях, где проводятся работы с вредными химическими веществами, а также в местах хранения (по ГОСТ 12.4.026) должны быть вывешены соответствующие знаки.</w:t>
      </w:r>
    </w:p>
    <w:p>
      <w:pPr>
        <w:pStyle w:val="Normal"/>
        <w:ind w:firstLine="54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складе и площадке для временного складирования кислот и масел должны быть установлены емкости для хранения необходимого количества извести, соды для нейтрализации случайно разлитых жидкостей, а также песка для их сбора.</w:t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Вблизи площадок накопления отработанного масла запрещается пользоваться огнем и производить сварочные работы во избежание взрывоопасной ситуации.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Для ликвидации аварийной ситуации при загорании отходов тушение осуществляется пеной. Вблизи мест временного складирования пожароопасных отходов должны быть огнетушители.</w:t>
      </w:r>
      <w:r>
        <w:rPr>
          <w:color w:val="000000"/>
          <w:sz w:val="24"/>
          <w:szCs w:val="24"/>
        </w:rPr>
        <w:t xml:space="preserve">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Учитывая возможность разбивания или разгерметизации РСЛ, следует соблюдать следующие правила: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 помещении, где производится накопление отработанных РСЛ, необходимо наличие приточно-вытяжной вентиляции;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помещение, где хранятся отработанные лампы, должно быть удалено от бытовых помещений;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необходимо предусмотреть использование эмалированных или винипластовых поддонов для предупреждения растекания ртути в аварийной ситуации;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необходимо иметь запас марганцовокислого калия или соляной кислоты для ликвидации возможной аварийной ситуации.</w:t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Содержание мероприятий по ликвидации чрезвычайной ситуации зависит от степени ртутного загрязнения помещения и определяется следующими принципами: </w:t>
      </w:r>
    </w:p>
    <w:p>
      <w:pPr>
        <w:pStyle w:val="ListParagraph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обязательном порядке вызывают специалистов муниципального учреждения аварийно-спасательной службы при механическом разрушении РСЛ в количестве более 1 шт.</w:t>
      </w:r>
    </w:p>
    <w:p>
      <w:pPr>
        <w:pStyle w:val="ListParagraph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устранение ртутного загрязнения может быть выполнено персоналом филиала собственными силами при механическом разрушении не более одной РСЛ, с помощью Демеркуризационного комплекта.</w:t>
      </w:r>
    </w:p>
    <w:p>
      <w:pPr>
        <w:pStyle w:val="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Прежде, чем приступать к ликвидации чрезвычайной ситуации необходимо вскрыть демеркуризационный комплект, внимательно изучить инструкцию по проведению демеркуризации с его помощью. Надеть средства индивидуальной защиты (спецодежду, бахилы, респиратор, защитные перчатки) и только после этого приступать к ликвидационным мероприятиям. </w:t>
      </w:r>
    </w:p>
    <w:p>
      <w:pPr>
        <w:pStyle w:val="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Ликвидация последствий аварийной ситуации при механическом разрушении одной ртутьсодержащей лампы заключается в проведении двух последовательных мероприятий: </w:t>
      </w:r>
    </w:p>
    <w:p>
      <w:pPr>
        <w:pStyle w:val="Normal"/>
        <w:ind w:left="426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-  локализации источника заражения;</w:t>
      </w:r>
    </w:p>
    <w:p>
      <w:pPr>
        <w:pStyle w:val="Normal"/>
        <w:ind w:left="426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-  ликвидации источника заражения.</w:t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Целью первого мероприятия является предотвращение дальнейшего распространения ртутного загрязнения, а результатом выполнения второго мероприятия - минимизация ущерба от чрезвычайной ситуации.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Локализация источника заражения осуществляется ограничением входа людей в зону заражения, что позволяет предотвратить перемещение ртути на чистые участки помещения, при этом необходимо: 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как можно быстрее удалить из помещения персонал;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отключить все электроприборы, по возможности снизить температуру в помещении как минимум до 15° С (чем ниже температура, тем меньше испаряется ртуть);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закрыть дверь в помещение, оставив открытым окно, тщательно заклеить дверь в помещение липкой лентой;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интенсивно проветривать помещение в течение 1,5-2 часов;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после этого можно слегка прикрыть окна и приступить к ликвидации источника заражения.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Ликвидация источника заражения проводится с помощью демеркуризационного комплекта и предусматривает следующие процедуры: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механический сбор осколков разрушенной РСЛ;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демеркуризацию - обработку помещения химически активными веществами при этом целесообразно использовать средства распыления демеркуризационных растворов в воздухе;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влажную уборку.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 осколков разбитой РСЛ,  проводят с помощью приспособлений, включенных в демеркуризационный комплект (кисточки медная и волосяная, влажные салфетки, лоток, совок) от периферии загрязненного участка к его центру.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Собранные осколки ртутьсодержащей лампы переносят в  металлический контейнер с плотно закрывающейся крышкой, предварительно заполненный подкисленным раствором перманганата калия. Для приготовления 1 л раствора в воду добавляется 1 г перманганата калия и 5 мл 36% кислоты (входят в демеркуризационный комплект).</w:t>
      </w:r>
    </w:p>
    <w:p>
      <w:pPr>
        <w:pStyle w:val="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Путем тщательного осмотра необходимо убедиться в полноте сбора осколков, в том числе учесть наличие щелей в полу. Место необходимо нейтрализовать раствором марганцовокислого калия и смыть водой.</w:t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Места проведения смазочных работ должны быть оснащены емкостями для сбора отработанных масел и оборудованы таким образом, чтобы исключить возможность загрязнения маслами почв и поверхностных вод. При аварийном загрязнении поверхности земли мазутом или маслами предусмотреть химическую обработку загрязненных участков почвы путем распределения 1 кг извести на 1 кг нефтепродукта. </w:t>
      </w:r>
    </w:p>
    <w:p>
      <w:pPr>
        <w:pStyle w:val="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Переливание лакокрасочных материалов из одной тары в другую должно производиться на металлических поддонах с бортами не ниже 50 мм. Разлитые на пол краски и растворители необходимо немедленно убрать с применением песка или опилок и удалить из окрасочного помещения.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rPr>
          <w:b/>
          <w:bCs/>
          <w:sz w:val="28"/>
        </w:rPr>
      </w:pPr>
      <w:r>
        <w:rPr>
          <w:b/>
          <w:bCs/>
          <w:sz w:val="28"/>
        </w:rPr>
        <w:t xml:space="preserve">              </w:t>
      </w:r>
      <w:r>
        <w:rPr>
          <w:b/>
          <w:bCs/>
          <w:sz w:val="28"/>
        </w:rPr>
        <w:t>7. Взаимодействие с подрядными организациями</w:t>
      </w:r>
    </w:p>
    <w:p>
      <w:pPr>
        <w:pStyle w:val="Normal"/>
        <w:rPr/>
      </w:pPr>
      <w:r>
        <w:rPr/>
      </w:r>
    </w:p>
    <w:p>
      <w:pPr>
        <w:pStyle w:val="BodyText"/>
        <w:tabs>
          <w:tab w:val="clear" w:pos="708"/>
          <w:tab w:val="left" w:pos="900" w:leader="none"/>
        </w:tabs>
        <w:spacing w:before="0" w:after="0"/>
        <w:ind w:firstLine="567"/>
        <w:jc w:val="both"/>
        <w:rPr>
          <w:sz w:val="24"/>
        </w:rPr>
      </w:pPr>
      <w:r>
        <w:rPr>
          <w:sz w:val="24"/>
        </w:rPr>
        <w:t>При взаимодействии с подрядными организациями, в договорах должны быть прописаны отдельным пунктом:</w:t>
      </w:r>
    </w:p>
    <w:p>
      <w:pPr>
        <w:pStyle w:val="BodyText"/>
        <w:spacing w:before="0" w:after="0"/>
        <w:jc w:val="both"/>
        <w:rPr>
          <w:sz w:val="24"/>
        </w:rPr>
      </w:pPr>
      <w:r>
        <w:rPr>
          <w:sz w:val="24"/>
          <w:lang w:val="ru-RU"/>
        </w:rPr>
        <w:t xml:space="preserve">        </w:t>
      </w:r>
      <w:r>
        <w:rPr>
          <w:sz w:val="24"/>
        </w:rPr>
        <w:t>- ответственность за безопасное обращение с отходами, в соответствии с законодательством РФ в сфере охраны окружающей среды;</w:t>
      </w:r>
    </w:p>
    <w:p>
      <w:pPr>
        <w:pStyle w:val="BodyText"/>
        <w:spacing w:before="0" w:after="0"/>
        <w:jc w:val="both"/>
        <w:rPr>
          <w:sz w:val="24"/>
        </w:rPr>
      </w:pPr>
      <w:r>
        <w:rPr>
          <w:sz w:val="24"/>
          <w:lang w:val="ru-RU"/>
        </w:rPr>
        <w:t xml:space="preserve">        </w:t>
      </w:r>
      <w:r>
        <w:rPr>
          <w:sz w:val="24"/>
        </w:rPr>
        <w:t>- содержание в чистоте рабочего места;</w:t>
      </w:r>
    </w:p>
    <w:p>
      <w:pPr>
        <w:pStyle w:val="BodyText"/>
        <w:spacing w:before="0" w:after="0"/>
        <w:jc w:val="both"/>
        <w:rPr>
          <w:sz w:val="24"/>
        </w:rPr>
      </w:pPr>
      <w:r>
        <w:rPr>
          <w:sz w:val="24"/>
          <w:lang w:val="ru-RU"/>
        </w:rPr>
        <w:t xml:space="preserve">        </w:t>
      </w:r>
      <w:r>
        <w:rPr>
          <w:sz w:val="24"/>
        </w:rPr>
        <w:t>- уборка за собой рабочего места;</w:t>
      </w:r>
    </w:p>
    <w:p>
      <w:pPr>
        <w:pStyle w:val="BodyText"/>
        <w:spacing w:before="0" w:after="0"/>
        <w:jc w:val="both"/>
        <w:rPr>
          <w:sz w:val="24"/>
        </w:rPr>
      </w:pPr>
      <w:r>
        <w:rPr>
          <w:sz w:val="24"/>
          <w:lang w:val="ru-RU"/>
        </w:rPr>
        <w:t xml:space="preserve">        </w:t>
      </w:r>
      <w:r>
        <w:rPr>
          <w:sz w:val="24"/>
        </w:rPr>
        <w:t>- требования к  мест</w:t>
      </w:r>
      <w:r>
        <w:rPr>
          <w:sz w:val="24"/>
          <w:lang w:val="ru-RU"/>
        </w:rPr>
        <w:t>ам</w:t>
      </w:r>
      <w:r>
        <w:rPr>
          <w:sz w:val="24"/>
        </w:rPr>
        <w:t xml:space="preserve"> сбора и  временного хранения отходов в соответствии с данной инструкцией;</w:t>
      </w:r>
    </w:p>
    <w:p>
      <w:pPr>
        <w:pStyle w:val="BodyText"/>
        <w:tabs>
          <w:tab w:val="clear" w:pos="708"/>
          <w:tab w:val="left" w:pos="900" w:leader="none"/>
        </w:tabs>
        <w:spacing w:before="0" w:after="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     </w:t>
      </w:r>
      <w:r>
        <w:rPr>
          <w:sz w:val="24"/>
        </w:rPr>
        <w:t>- утилизация отходов</w:t>
      </w:r>
      <w:r>
        <w:rPr>
          <w:sz w:val="24"/>
          <w:lang w:val="ru-RU"/>
        </w:rPr>
        <w:t xml:space="preserve"> </w:t>
      </w:r>
      <w:r>
        <w:rPr>
          <w:sz w:val="24"/>
          <w:szCs w:val="24"/>
        </w:rPr>
        <w:t>своими силами и за свой счет</w:t>
      </w:r>
      <w:r>
        <w:rPr>
          <w:sz w:val="24"/>
        </w:rPr>
        <w:t>.</w:t>
      </w:r>
    </w:p>
    <w:p>
      <w:pPr>
        <w:pStyle w:val="Normal"/>
        <w:tabs>
          <w:tab w:val="clear" w:pos="708"/>
          <w:tab w:val="left" w:pos="900" w:leader="none"/>
          <w:tab w:val="left" w:pos="1080" w:leader="none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В технические требования на выполнение работ необходимо включать:</w:t>
      </w:r>
    </w:p>
    <w:p>
      <w:pPr>
        <w:pStyle w:val="BodyText"/>
        <w:tabs>
          <w:tab w:val="clear" w:pos="708"/>
          <w:tab w:val="left" w:pos="900" w:leader="none"/>
        </w:tabs>
        <w:spacing w:before="0" w:after="0"/>
        <w:jc w:val="both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 xml:space="preserve">        </w:t>
      </w:r>
      <w:r>
        <w:rPr>
          <w:sz w:val="24"/>
          <w:szCs w:val="24"/>
          <w:lang w:val="ru-RU" w:eastAsia="ru-RU"/>
        </w:rPr>
        <w:t>- представление распорядительного документа о назначении лица, ответственного за соблюдение требований природоохранного законодательства  при выполнении работ на территории филиала.</w:t>
      </w:r>
    </w:p>
    <w:p>
      <w:pPr>
        <w:pStyle w:val="BodyText"/>
        <w:tabs>
          <w:tab w:val="clear" w:pos="708"/>
          <w:tab w:val="left" w:pos="900" w:leader="none"/>
        </w:tabs>
        <w:spacing w:before="0" w:after="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     </w:t>
      </w:r>
      <w:r>
        <w:rPr>
          <w:sz w:val="24"/>
          <w:lang w:val="ru-RU"/>
        </w:rPr>
        <w:t>- все вопросы, связанные с оформлением разрешительной документации по экологической безопасности и осуществлению необходимых платежей, связанных с компенсацией вреда окружающей среде, рыбному хозяйству и т.д. возлагается на подрядную организацию.</w:t>
      </w:r>
    </w:p>
    <w:p>
      <w:pPr>
        <w:pStyle w:val="BodyText"/>
        <w:tabs>
          <w:tab w:val="clear" w:pos="708"/>
          <w:tab w:val="left" w:pos="900" w:leader="none"/>
        </w:tabs>
        <w:spacing w:before="0" w:after="0"/>
        <w:jc w:val="both"/>
        <w:rPr>
          <w:sz w:val="24"/>
          <w:lang w:val="ru-RU"/>
        </w:rPr>
      </w:pPr>
      <w:r>
        <w:rPr>
          <w:sz w:val="24"/>
          <w:szCs w:val="24"/>
          <w:lang w:val="ru-RU"/>
        </w:rPr>
        <w:t xml:space="preserve">        </w:t>
      </w:r>
      <w:r>
        <w:rPr>
          <w:sz w:val="24"/>
          <w:szCs w:val="24"/>
        </w:rPr>
        <w:t>Контроль за обращением с отходами производства и потребления на территории Филиала подрядными организациями возлагается на технических кураторов по договорам.</w:t>
      </w:r>
    </w:p>
    <w:p>
      <w:pPr>
        <w:pStyle w:val="Normal"/>
        <w:tabs>
          <w:tab w:val="clear" w:pos="708"/>
          <w:tab w:val="left" w:pos="1080" w:leader="none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нарушений, технические кураторы по договорам принимают меры к их устранению.</w:t>
      </w:r>
    </w:p>
    <w:p>
      <w:pPr>
        <w:pStyle w:val="BodyText"/>
        <w:tabs>
          <w:tab w:val="clear" w:pos="708"/>
          <w:tab w:val="left" w:pos="900" w:leader="none"/>
        </w:tabs>
        <w:jc w:val="both"/>
        <w:rPr>
          <w:sz w:val="24"/>
          <w:lang w:val="ru-RU"/>
        </w:rPr>
      </w:pPr>
      <w:r>
        <w:rPr>
          <w:sz w:val="24"/>
          <w:lang w:val="ru-RU"/>
        </w:rPr>
      </w:r>
    </w:p>
    <w:p>
      <w:pPr>
        <w:pStyle w:val="BodyText"/>
        <w:tabs>
          <w:tab w:val="clear" w:pos="708"/>
          <w:tab w:val="left" w:pos="900" w:leader="none"/>
        </w:tabs>
        <w:rPr>
          <w:sz w:val="24"/>
        </w:rPr>
      </w:pPr>
      <w:r>
        <w:rPr>
          <w:sz w:val="24"/>
        </w:rPr>
      </w:r>
    </w:p>
    <w:p>
      <w:pPr>
        <w:pStyle w:val="BodyText"/>
        <w:tabs>
          <w:tab w:val="clear" w:pos="708"/>
          <w:tab w:val="left" w:pos="900" w:leader="none"/>
        </w:tabs>
        <w:rPr>
          <w:sz w:val="24"/>
        </w:rPr>
      </w:pPr>
      <w:r>
        <w:rPr>
          <w:sz w:val="24"/>
        </w:rPr>
        <w:tab/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spacing w:lineRule="auto" w:line="264"/>
        <w:jc w:val="right"/>
        <w:rPr/>
      </w:pPr>
      <w:r>
        <w:rPr/>
      </w:r>
    </w:p>
    <w:p>
      <w:pPr>
        <w:pStyle w:val="Normal"/>
        <w:spacing w:lineRule="auto" w:line="264"/>
        <w:jc w:val="right"/>
        <w:rPr/>
      </w:pPr>
      <w:r>
        <w:rPr/>
      </w:r>
    </w:p>
    <w:p>
      <w:pPr>
        <w:pStyle w:val="Normal"/>
        <w:spacing w:lineRule="auto" w:line="264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850" w:gutter="0" w:header="708" w:top="765" w:footer="708" w:bottom="899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91506938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0</w:t>
        </w:r>
        <w:r>
          <w:rPr>
            <w:sz w:val="24"/>
            <w:szCs w:val="24"/>
          </w:rPr>
          <w:fldChar w:fldCharType="end"/>
        </w:r>
      </w:p>
    </w:sdtContent>
  </w:sdt>
  <w:p>
    <w:pPr>
      <w:pStyle w:val="Footer"/>
      <w:jc w:val="center"/>
      <w:rPr>
        <w:lang w:val="ru-RU"/>
      </w:rPr>
    </w:pPr>
    <w:r>
      <w:rPr>
        <w:lang w:val="ru-RU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lang w:val="ru-RU"/>
      </w:rPr>
    </w:pPr>
    <w:r>
      <w:rPr>
        <w:lang w:val="ru-RU"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10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25" w:hanging="432"/>
      </w:pPr>
      <w:rPr>
        <w:i w:val="fals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0" w:hanging="504"/>
      </w:pPr>
      <w:rPr>
        <w:sz w:val="28"/>
        <w:i w:val="false"/>
        <w:b w:val="false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1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2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3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1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cryptProviderType="rsaAES" w:cryptAlgorithmClass="hash" w:cryptAlgorithmType="typeAny" w:cryptAlgorithmSid="" w:cryptSpinCount="0" w:hash="" w:salt="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2">
    <w:name w:val="Heading 2"/>
    <w:basedOn w:val="Normal"/>
    <w:next w:val="Normal"/>
    <w:link w:val="22"/>
    <w:qFormat/>
    <w:rsid w:val="00b719d8"/>
    <w:pPr>
      <w:keepNext w:val="true"/>
      <w:widowControl w:val="false"/>
      <w:outlineLvl w:val="1"/>
    </w:pPr>
    <w:rPr>
      <w:rFonts w:eastAsia="Arial Unicode MS"/>
      <w:sz w:val="32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Основной текст с отступом Знак"/>
    <w:qFormat/>
    <w:rsid w:val="00fd20f5"/>
    <w:rPr>
      <w:sz w:val="24"/>
      <w:szCs w:val="24"/>
    </w:rPr>
  </w:style>
  <w:style w:type="character" w:styleId="2" w:customStyle="1">
    <w:name w:val="Основной текст 2 Знак"/>
    <w:link w:val="BodyText2"/>
    <w:qFormat/>
    <w:rsid w:val="00fd20f5"/>
    <w:rPr>
      <w:sz w:val="28"/>
      <w:szCs w:val="28"/>
    </w:rPr>
  </w:style>
  <w:style w:type="character" w:styleId="FontStyle17" w:customStyle="1">
    <w:name w:val="Font Style17"/>
    <w:qFormat/>
    <w:rsid w:val="00fd20f5"/>
    <w:rPr>
      <w:rFonts w:ascii="Times New Roman" w:hAnsi="Times New Roman" w:cs="Times New Roman"/>
      <w:sz w:val="22"/>
      <w:szCs w:val="22"/>
    </w:rPr>
  </w:style>
  <w:style w:type="character" w:styleId="Style9" w:customStyle="1">
    <w:name w:val="Верхний колонтитул Знак"/>
    <w:qFormat/>
    <w:rsid w:val="0045407e"/>
    <w:rPr>
      <w:sz w:val="28"/>
    </w:rPr>
  </w:style>
  <w:style w:type="character" w:styleId="Style10" w:customStyle="1">
    <w:name w:val="Нижний колонтитул Знак"/>
    <w:uiPriority w:val="99"/>
    <w:qFormat/>
    <w:rsid w:val="0045407e"/>
    <w:rPr>
      <w:sz w:val="28"/>
    </w:rPr>
  </w:style>
  <w:style w:type="character" w:styleId="Style11" w:customStyle="1">
    <w:name w:val="Основной текст Знак"/>
    <w:qFormat/>
    <w:rsid w:val="007d10a9"/>
    <w:rPr>
      <w:sz w:val="28"/>
      <w:lang w:val="x-none" w:eastAsia="x-none"/>
    </w:rPr>
  </w:style>
  <w:style w:type="character" w:styleId="Style12" w:customStyle="1">
    <w:name w:val="Текст Знак"/>
    <w:link w:val="PlainText"/>
    <w:uiPriority w:val="99"/>
    <w:qFormat/>
    <w:rsid w:val="007d10a9"/>
    <w:rPr>
      <w:rFonts w:ascii="Courier New" w:hAnsi="Courier New"/>
      <w:sz w:val="28"/>
      <w:lang w:val="x-none" w:eastAsia="x-none"/>
    </w:rPr>
  </w:style>
  <w:style w:type="character" w:styleId="Hyperlink">
    <w:name w:val="Hyperlink"/>
    <w:uiPriority w:val="99"/>
    <w:unhideWhenUsed/>
    <w:rsid w:val="00b1773d"/>
    <w:rPr>
      <w:color w:val="0000FF"/>
      <w:u w:val="single"/>
    </w:rPr>
  </w:style>
  <w:style w:type="character" w:styleId="21" w:customStyle="1">
    <w:name w:val="СТО_Обучный нумерованный 2 уровня Знак"/>
    <w:link w:val="23"/>
    <w:qFormat/>
    <w:rsid w:val="00c0217b"/>
    <w:rPr>
      <w:sz w:val="24"/>
      <w:szCs w:val="24"/>
    </w:rPr>
  </w:style>
  <w:style w:type="character" w:styleId="22" w:customStyle="1">
    <w:name w:val="Заголовок 2 Знак"/>
    <w:qFormat/>
    <w:rsid w:val="00b719d8"/>
    <w:rPr>
      <w:rFonts w:eastAsia="Arial Unicode MS"/>
      <w:sz w:val="32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1"/>
    <w:rsid w:val="007d10a9"/>
    <w:pPr>
      <w:spacing w:before="0" w:after="120"/>
    </w:pPr>
    <w:rPr>
      <w:lang w:val="x-none" w:eastAsia="x-none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/>
  </w:style>
  <w:style w:type="paragraph" w:styleId="BodyTextIndent">
    <w:name w:val="Body Text Indent"/>
    <w:basedOn w:val="Normal"/>
    <w:link w:val="Style8"/>
    <w:rsid w:val="00fd20f5"/>
    <w:pPr>
      <w:ind w:left="360" w:hanging="0"/>
    </w:pPr>
    <w:rPr>
      <w:sz w:val="24"/>
      <w:szCs w:val="24"/>
      <w:lang w:val="x-none" w:eastAsia="x-none"/>
    </w:rPr>
  </w:style>
  <w:style w:type="paragraph" w:styleId="BodyText2">
    <w:name w:val="Body Text 2"/>
    <w:basedOn w:val="Normal"/>
    <w:link w:val="2"/>
    <w:qFormat/>
    <w:rsid w:val="00fd20f5"/>
    <w:pPr>
      <w:spacing w:lineRule="auto" w:line="480" w:before="0" w:after="120"/>
    </w:pPr>
    <w:rPr>
      <w:szCs w:val="28"/>
      <w:lang w:val="x-none" w:eastAsia="x-none"/>
    </w:rPr>
  </w:style>
  <w:style w:type="paragraph" w:styleId="Style41" w:customStyle="1">
    <w:name w:val="Style4"/>
    <w:basedOn w:val="Normal"/>
    <w:qFormat/>
    <w:rsid w:val="00fd20f5"/>
    <w:pPr>
      <w:widowControl w:val="false"/>
      <w:spacing w:lineRule="exact" w:line="317"/>
      <w:jc w:val="both"/>
    </w:pPr>
    <w:rPr>
      <w:sz w:val="24"/>
      <w:szCs w:val="24"/>
    </w:rPr>
  </w:style>
  <w:style w:type="paragraph" w:styleId="NormalWeb">
    <w:name w:val="Normal (Web)"/>
    <w:basedOn w:val="Normal"/>
    <w:qFormat/>
    <w:rsid w:val="00fd20f5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4e2069"/>
    <w:pPr/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ca5aa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de3070"/>
    <w:pPr>
      <w:ind w:left="720" w:hanging="0"/>
    </w:pPr>
    <w:rPr>
      <w:rFonts w:ascii="Calibri" w:hAnsi="Calibri" w:eastAsia="Calibri"/>
      <w:sz w:val="22"/>
      <w:szCs w:val="22"/>
      <w:lang w:eastAsia="en-US"/>
    </w:rPr>
  </w:style>
  <w:style w:type="paragraph" w:styleId="Style15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rsid w:val="0045407e"/>
    <w:pPr>
      <w:tabs>
        <w:tab w:val="clear" w:pos="708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Footer">
    <w:name w:val="Footer"/>
    <w:basedOn w:val="Normal"/>
    <w:link w:val="Style10"/>
    <w:uiPriority w:val="99"/>
    <w:rsid w:val="0045407e"/>
    <w:pPr>
      <w:tabs>
        <w:tab w:val="clear" w:pos="708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PlainText">
    <w:name w:val="Plain Text"/>
    <w:basedOn w:val="Normal"/>
    <w:link w:val="Style12"/>
    <w:uiPriority w:val="99"/>
    <w:qFormat/>
    <w:rsid w:val="007d10a9"/>
    <w:pPr>
      <w:ind w:firstLine="851"/>
      <w:jc w:val="both"/>
    </w:pPr>
    <w:rPr>
      <w:rFonts w:ascii="Courier New" w:hAnsi="Courier New"/>
      <w:lang w:val="x-none" w:eastAsia="x-none"/>
    </w:rPr>
  </w:style>
  <w:style w:type="paragraph" w:styleId="ConsPlusNonformat" w:customStyle="1">
    <w:name w:val="ConsPlusNonformat"/>
    <w:uiPriority w:val="99"/>
    <w:qFormat/>
    <w:rsid w:val="007d10a9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7d10a9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СТО_Заголовок 1"/>
    <w:basedOn w:val="Normal"/>
    <w:qFormat/>
    <w:rsid w:val="00c0217b"/>
    <w:pPr>
      <w:keepNext w:val="true"/>
      <w:numPr>
        <w:ilvl w:val="0"/>
        <w:numId w:val="2"/>
      </w:numPr>
      <w:spacing w:lineRule="auto" w:line="360"/>
      <w:jc w:val="both"/>
      <w:outlineLvl w:val="0"/>
    </w:pPr>
    <w:rPr>
      <w:b/>
      <w:bCs/>
      <w:color w:val="000000"/>
      <w:szCs w:val="28"/>
    </w:rPr>
  </w:style>
  <w:style w:type="paragraph" w:styleId="23" w:customStyle="1">
    <w:name w:val="СТО_Обучный нумерованный 2 уровня"/>
    <w:basedOn w:val="Header"/>
    <w:link w:val="21"/>
    <w:qFormat/>
    <w:rsid w:val="00c0217b"/>
    <w:pPr>
      <w:numPr>
        <w:ilvl w:val="1"/>
        <w:numId w:val="2"/>
      </w:numPr>
      <w:tabs>
        <w:tab w:val="clear" w:pos="4677"/>
        <w:tab w:val="clear" w:pos="9355"/>
      </w:tabs>
      <w:spacing w:lineRule="auto" w:line="360" w:before="120" w:after="120"/>
      <w:jc w:val="both"/>
    </w:pPr>
    <w:rPr>
      <w:sz w:val="24"/>
      <w:szCs w:val="24"/>
    </w:rPr>
  </w:style>
  <w:style w:type="paragraph" w:styleId="ConsPlusNormal" w:customStyle="1">
    <w:name w:val="ConsPlusNormal"/>
    <w:qFormat/>
    <w:rsid w:val="00554bfc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1A460AE8D36E478EB4CD165FAE8B01" ma:contentTypeVersion="1" ma:contentTypeDescription="Создание документа." ma:contentTypeScope="" ma:versionID="2a1fd3739a71d8e29ffeed5b971aab87">
  <xsd:schema xmlns:xsd="http://www.w3.org/2001/XMLSchema" xmlns:xs="http://www.w3.org/2001/XMLSchema" xmlns:p="http://schemas.microsoft.com/office/2006/metadata/properties" xmlns:ns2="cebf6294-be50-4e13-92c6-fd6217fc7fa3" targetNamespace="http://schemas.microsoft.com/office/2006/metadata/properties" ma:root="true" ma:fieldsID="4d88209fd0ed3d08085c8984b225bd75" ns2:_="">
    <xsd:import namespace="cebf6294-be50-4e13-92c6-fd6217fc7fa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f6294-be50-4e13-92c6-fd6217fc7f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0F30A-B02B-4A13-BE09-539739C15FE5}"/>
</file>

<file path=customXml/itemProps2.xml><?xml version="1.0" encoding="utf-8"?>
<ds:datastoreItem xmlns:ds="http://schemas.openxmlformats.org/officeDocument/2006/customXml" ds:itemID="{B1ECD2EC-4AD2-4260-9C12-E34B0A87E1B8}"/>
</file>

<file path=customXml/itemProps3.xml><?xml version="1.0" encoding="utf-8"?>
<ds:datastoreItem xmlns:ds="http://schemas.openxmlformats.org/officeDocument/2006/customXml" ds:itemID="{098D4452-1841-4374-97AC-BAEAB902AE4C}"/>
</file>

<file path=customXml/itemProps4.xml><?xml version="1.0" encoding="utf-8"?>
<ds:datastoreItem xmlns:ds="http://schemas.openxmlformats.org/officeDocument/2006/customXml" ds:itemID="{07856C92-0E16-48FA-9C12-9D1FE4FFBC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AlterOffice/3.4.0.9$Linux_X86_64 LibreOffice_project/b8daf9e823b1a5463a2f48435ddc2e8696e7d4fc</Application>
  <AppVersion>15.0000</AppVersion>
  <Pages>13</Pages>
  <Words>3605</Words>
  <Characters>25847</Characters>
  <CharactersWithSpaces>29564</CharactersWithSpaces>
  <Paragraphs>231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2023-01-26T01:50:00Z</dcterms:created>
  <dc:creator>faminceva-ma</dc:creator>
  <dc:description/>
  <dc:language>ru-RU</dc:language>
  <cp:lastModifiedBy>tsaplindv@corp.gidroogk.com</cp:lastModifiedBy>
  <cp:lastPrinted>2014-09-10T01:59:00Z</cp:lastPrinted>
  <dcterms:modified xsi:type="dcterms:W3CDTF">2025-12-24T10:35:48Z</dcterms:modified>
  <cp:revision>7</cp:revision>
  <dc:subject/>
  <dc:title>ПРИКАЗ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0x010100291A460AE8D36E478EB4CD165FAE8B01</vt:lpwstr>
  </property>
  <property fmtid="{D5CDD505-2E9C-101B-9397-08002B2CF9AE}" pid="3" name="EDOID">
    <vt:i4>0</vt:i4>
  </property>
</Properties>
</file>